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微软雅黑" w:hAnsi="微软雅黑" w:eastAsia="微软雅黑" w:cs="微软雅黑"/>
          <w:b/>
          <w:bCs/>
          <w:color w:val="333333"/>
          <w:spacing w:val="8"/>
          <w:kern w:val="0"/>
          <w:sz w:val="32"/>
          <w:szCs w:val="32"/>
          <w:shd w:val="clear" w:color="auto" w:fill="FFFFFF"/>
          <w:lang/>
        </w:rPr>
      </w:pPr>
      <w:bookmarkStart w:id="0" w:name="Content"/>
      <w:bookmarkStart w:id="1" w:name="_GoBack"/>
      <w:bookmarkEnd w:id="1"/>
    </w:p>
    <w:p>
      <w:pPr>
        <w:snapToGrid w:val="0"/>
        <w:spacing w:line="360" w:lineRule="auto"/>
        <w:jc w:val="center"/>
        <w:rPr>
          <w:rFonts w:hint="eastAsia" w:ascii="黑体" w:hAnsi="黑体" w:eastAsia="黑体" w:cs="黑体"/>
          <w:b/>
          <w:bCs/>
          <w:spacing w:val="8"/>
          <w:kern w:val="0"/>
          <w:sz w:val="36"/>
          <w:szCs w:val="36"/>
          <w:shd w:val="clear" w:color="auto" w:fill="FFFFFF"/>
          <w:lang/>
        </w:rPr>
      </w:pPr>
      <w:r>
        <w:rPr>
          <w:rFonts w:hint="eastAsia" w:ascii="宋体" w:hAnsi="宋体" w:eastAsia="宋体" w:cs="宋体"/>
          <w:b/>
          <w:bCs/>
          <w:spacing w:val="8"/>
          <w:kern w:val="0"/>
          <w:sz w:val="32"/>
          <w:szCs w:val="32"/>
          <w:shd w:val="clear" w:color="auto" w:fill="FFFFFF"/>
          <w:lang/>
        </w:rPr>
        <w:t>废旧PS版购销合同</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lang/>
        </w:rPr>
      </w:pPr>
    </w:p>
    <w:p>
      <w:pPr>
        <w:pStyle w:val="3"/>
        <w:widowControl/>
        <w:shd w:val="clear" w:color="auto" w:fill="FFFFFF"/>
        <w:snapToGrid w:val="0"/>
        <w:spacing w:before="0" w:beforeAutospacing="0" w:after="0" w:afterAutospacing="0" w:line="360" w:lineRule="auto"/>
        <w:rPr>
          <w:rFonts w:hint="default" w:ascii="宋体" w:hAnsi="宋体" w:eastAsia="宋体" w:cs="宋体"/>
          <w:kern w:val="21"/>
          <w:sz w:val="21"/>
          <w:szCs w:val="21"/>
          <w:shd w:val="clear" w:color="auto" w:fill="FFFFFF"/>
          <w:lang w:val="en-US" w:eastAsia="zh-CN"/>
        </w:rPr>
      </w:pPr>
      <w:r>
        <w:rPr>
          <w:rFonts w:hint="eastAsia" w:ascii="宋体" w:hAnsi="宋体" w:cs="宋体"/>
          <w:b/>
          <w:bCs/>
          <w:kern w:val="21"/>
          <w:sz w:val="21"/>
          <w:szCs w:val="21"/>
          <w:shd w:val="clear" w:color="auto" w:fill="FFFFFF"/>
          <w:lang/>
        </w:rPr>
        <w:t>甲方：</w:t>
      </w:r>
      <w:r>
        <w:rPr>
          <w:rFonts w:hint="eastAsia" w:ascii="宋体" w:hAnsi="宋体" w:cs="宋体"/>
          <w:kern w:val="21"/>
          <w:sz w:val="21"/>
          <w:szCs w:val="21"/>
          <w:u w:val="single"/>
          <w:shd w:val="clear" w:color="auto" w:fill="FFFFFF"/>
          <w:lang/>
        </w:rPr>
        <w:t xml:space="preserve">广东新华印刷有限公司南海分公司 </w:t>
      </w:r>
      <w:r>
        <w:rPr>
          <w:rFonts w:hint="eastAsia" w:ascii="宋体" w:hAnsi="宋体" w:cs="宋体"/>
          <w:kern w:val="21"/>
          <w:sz w:val="21"/>
          <w:szCs w:val="21"/>
          <w:shd w:val="clear" w:color="auto" w:fill="FFFFFF"/>
          <w:lang/>
        </w:rPr>
        <w:t xml:space="preserve">                     签订地点：</w:t>
      </w:r>
      <w:r>
        <w:rPr>
          <w:rFonts w:hint="eastAsia" w:ascii="宋体" w:hAnsi="宋体" w:cs="宋体"/>
          <w:kern w:val="21"/>
          <w:sz w:val="21"/>
          <w:szCs w:val="21"/>
          <w:u w:val="single"/>
          <w:shd w:val="clear" w:color="auto" w:fill="FFFFFF"/>
          <w:lang w:val="en-US" w:eastAsia="zh-CN"/>
        </w:rPr>
        <w:t>佛山市南海区</w:t>
      </w:r>
    </w:p>
    <w:p>
      <w:pPr>
        <w:pStyle w:val="3"/>
        <w:widowControl/>
        <w:shd w:val="clear" w:color="auto" w:fill="FFFFFF"/>
        <w:snapToGrid w:val="0"/>
        <w:spacing w:before="0" w:beforeAutospacing="0" w:after="0" w:afterAutospacing="0" w:line="360" w:lineRule="auto"/>
        <w:rPr>
          <w:rFonts w:ascii="宋体" w:hAnsi="宋体" w:cs="宋体"/>
          <w:kern w:val="21"/>
          <w:sz w:val="21"/>
          <w:szCs w:val="21"/>
        </w:rPr>
      </w:pPr>
      <w:r>
        <w:rPr>
          <w:rFonts w:hint="eastAsia" w:ascii="宋体" w:hAnsi="宋体" w:cs="宋体"/>
          <w:b/>
          <w:bCs/>
          <w:kern w:val="21"/>
          <w:sz w:val="21"/>
          <w:szCs w:val="21"/>
          <w:shd w:val="clear" w:color="auto" w:fill="FFFFFF"/>
        </w:rPr>
        <w:t>乙方：</w:t>
      </w:r>
      <w:r>
        <w:rPr>
          <w:rFonts w:hint="eastAsia" w:ascii="宋体" w:hAnsi="宋体" w:cs="宋体"/>
          <w:b/>
          <w:bCs/>
          <w:kern w:val="21"/>
          <w:sz w:val="21"/>
          <w:szCs w:val="21"/>
          <w:shd w:val="clear" w:color="auto" w:fill="FFFFFF"/>
          <w:lang w:val="en-US" w:eastAsia="zh-CN"/>
        </w:rPr>
        <w:t xml:space="preserve">                                    </w:t>
      </w:r>
      <w:r>
        <w:rPr>
          <w:rFonts w:hint="eastAsia" w:ascii="宋体" w:hAnsi="宋体" w:cs="宋体"/>
          <w:kern w:val="21"/>
          <w:sz w:val="21"/>
          <w:szCs w:val="21"/>
          <w:shd w:val="clear" w:color="auto" w:fill="FFFFFF"/>
        </w:rPr>
        <w:t xml:space="preserve">       </w:t>
      </w:r>
      <w:r>
        <w:rPr>
          <w:rFonts w:hint="eastAsia" w:ascii="宋体" w:hAnsi="宋体" w:cs="宋体"/>
          <w:kern w:val="21"/>
          <w:sz w:val="21"/>
          <w:szCs w:val="21"/>
          <w:shd w:val="clear" w:color="auto" w:fill="FFFFFF"/>
          <w:lang/>
        </w:rPr>
        <w:t xml:space="preserve">         签订</w:t>
      </w:r>
      <w:r>
        <w:rPr>
          <w:rFonts w:hint="eastAsia" w:ascii="宋体" w:hAnsi="宋体" w:cs="宋体"/>
          <w:kern w:val="21"/>
          <w:sz w:val="21"/>
          <w:szCs w:val="21"/>
          <w:shd w:val="clear" w:color="auto" w:fill="FFFFFF"/>
        </w:rPr>
        <w:t>时间：</w:t>
      </w:r>
    </w:p>
    <w:p>
      <w:pPr>
        <w:pStyle w:val="3"/>
        <w:widowControl/>
        <w:shd w:val="clear" w:color="auto" w:fill="FFFFFF"/>
        <w:snapToGrid w:val="0"/>
        <w:spacing w:before="0" w:beforeAutospacing="0" w:after="0" w:afterAutospacing="0" w:line="360" w:lineRule="auto"/>
        <w:ind w:firstLine="404" w:firstLineChars="200"/>
        <w:rPr>
          <w:rFonts w:hint="eastAsia" w:ascii="宋体" w:hAnsi="宋体" w:cs="宋体"/>
          <w:kern w:val="21"/>
          <w:sz w:val="21"/>
          <w:szCs w:val="21"/>
        </w:rPr>
      </w:pPr>
      <w:r>
        <w:rPr>
          <w:rFonts w:hint="eastAsia" w:ascii="宋体" w:hAnsi="宋体" w:cs="宋体"/>
          <w:kern w:val="21"/>
          <w:sz w:val="21"/>
          <w:szCs w:val="21"/>
          <w:shd w:val="clear" w:color="auto" w:fill="FFFFFF"/>
        </w:rPr>
        <w:t>甲乙双方根据《中华人民共和国民法典》及有关法律法规，本着平等互利的原则，经友好协商，就乙方收购甲方废旧PS版事宜，达成以下条款。</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第一条 购销物资</w:t>
      </w:r>
    </w:p>
    <w:tbl>
      <w:tblPr>
        <w:tblStyle w:val="5"/>
        <w:tblW w:w="7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665"/>
        <w:gridCol w:w="1364"/>
        <w:gridCol w:w="2127"/>
        <w:gridCol w:w="152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628" w:hRule="atLeast"/>
          <w:jc w:val="center"/>
        </w:trPr>
        <w:tc>
          <w:tcPr>
            <w:tcW w:w="665" w:type="dxa"/>
            <w:vAlign w:val="bottom"/>
          </w:tcPr>
          <w:p>
            <w:pPr>
              <w:pStyle w:val="3"/>
              <w:widowControl/>
              <w:snapToGrid w:val="0"/>
              <w:spacing w:before="0" w:beforeAutospacing="0" w:after="0" w:afterAutospacing="0" w:line="360" w:lineRule="auto"/>
              <w:jc w:val="center"/>
              <w:rPr>
                <w:rFonts w:hint="eastAsia" w:ascii="宋体" w:hAnsi="宋体" w:cs="宋体"/>
                <w:b/>
                <w:bCs/>
                <w:kern w:val="21"/>
                <w:sz w:val="21"/>
                <w:szCs w:val="21"/>
                <w:shd w:val="clear" w:color="auto" w:fill="FFFFFF"/>
              </w:rPr>
            </w:pPr>
            <w:r>
              <w:rPr>
                <w:rFonts w:hint="eastAsia" w:ascii="宋体" w:hAnsi="宋体" w:cs="宋体"/>
                <w:b/>
                <w:bCs/>
                <w:kern w:val="21"/>
                <w:sz w:val="21"/>
                <w:szCs w:val="21"/>
                <w:shd w:val="clear" w:color="auto" w:fill="FFFFFF"/>
              </w:rPr>
              <w:t>序号</w:t>
            </w:r>
          </w:p>
        </w:tc>
        <w:tc>
          <w:tcPr>
            <w:tcW w:w="1364" w:type="dxa"/>
            <w:vAlign w:val="bottom"/>
          </w:tcPr>
          <w:p>
            <w:pPr>
              <w:pStyle w:val="3"/>
              <w:widowControl/>
              <w:snapToGrid w:val="0"/>
              <w:spacing w:before="0" w:beforeAutospacing="0" w:after="0" w:afterAutospacing="0" w:line="360" w:lineRule="auto"/>
              <w:jc w:val="center"/>
              <w:rPr>
                <w:rFonts w:hint="eastAsia" w:ascii="宋体" w:hAnsi="宋体" w:cs="宋体"/>
                <w:b/>
                <w:bCs/>
                <w:kern w:val="21"/>
                <w:sz w:val="21"/>
                <w:szCs w:val="21"/>
                <w:shd w:val="clear" w:color="auto" w:fill="FFFFFF"/>
              </w:rPr>
            </w:pPr>
            <w:r>
              <w:rPr>
                <w:rFonts w:hint="eastAsia" w:ascii="宋体" w:hAnsi="宋体" w:cs="宋体"/>
                <w:b/>
                <w:bCs/>
                <w:kern w:val="21"/>
                <w:sz w:val="21"/>
                <w:szCs w:val="21"/>
                <w:shd w:val="clear" w:color="auto" w:fill="FFFFFF"/>
              </w:rPr>
              <w:t>物资名称</w:t>
            </w:r>
          </w:p>
        </w:tc>
        <w:tc>
          <w:tcPr>
            <w:tcW w:w="2127" w:type="dxa"/>
            <w:vAlign w:val="bottom"/>
          </w:tcPr>
          <w:p>
            <w:pPr>
              <w:pStyle w:val="3"/>
              <w:widowControl/>
              <w:snapToGrid w:val="0"/>
              <w:spacing w:before="0" w:beforeAutospacing="0" w:after="0" w:afterAutospacing="0" w:line="360" w:lineRule="auto"/>
              <w:jc w:val="center"/>
              <w:rPr>
                <w:rFonts w:hint="eastAsia" w:ascii="宋体" w:hAnsi="宋体" w:cs="宋体"/>
                <w:b/>
                <w:bCs/>
                <w:kern w:val="21"/>
                <w:sz w:val="21"/>
                <w:szCs w:val="21"/>
                <w:shd w:val="clear" w:color="auto" w:fill="FFFFFF"/>
              </w:rPr>
            </w:pPr>
            <w:r>
              <w:rPr>
                <w:rFonts w:hint="eastAsia" w:ascii="宋体" w:hAnsi="宋体" w:cs="宋体"/>
                <w:b/>
                <w:bCs/>
                <w:kern w:val="21"/>
                <w:sz w:val="21"/>
                <w:szCs w:val="21"/>
                <w:shd w:val="clear" w:color="auto" w:fill="FFFFFF"/>
              </w:rPr>
              <w:t>数量</w:t>
            </w:r>
          </w:p>
        </w:tc>
        <w:tc>
          <w:tcPr>
            <w:tcW w:w="1528" w:type="dxa"/>
            <w:vAlign w:val="bottom"/>
          </w:tcPr>
          <w:p>
            <w:pPr>
              <w:pStyle w:val="3"/>
              <w:widowControl/>
              <w:snapToGrid w:val="0"/>
              <w:spacing w:before="0" w:beforeAutospacing="0" w:after="0" w:afterAutospacing="0" w:line="360" w:lineRule="auto"/>
              <w:jc w:val="center"/>
              <w:rPr>
                <w:rFonts w:hint="eastAsia" w:ascii="宋体" w:hAnsi="宋体" w:cs="宋体"/>
                <w:b/>
                <w:bCs/>
                <w:kern w:val="21"/>
                <w:sz w:val="21"/>
                <w:szCs w:val="21"/>
                <w:shd w:val="clear" w:color="auto" w:fill="FFFFFF"/>
              </w:rPr>
            </w:pPr>
            <w:r>
              <w:rPr>
                <w:rFonts w:hint="eastAsia" w:ascii="宋体" w:hAnsi="宋体" w:cs="宋体"/>
                <w:b/>
                <w:bCs/>
                <w:kern w:val="21"/>
                <w:sz w:val="21"/>
                <w:szCs w:val="21"/>
                <w:shd w:val="clear" w:color="auto" w:fill="FFFFFF"/>
              </w:rPr>
              <w:t>单价（元/吨）</w:t>
            </w:r>
          </w:p>
        </w:tc>
        <w:tc>
          <w:tcPr>
            <w:tcW w:w="1526" w:type="dxa"/>
            <w:vAlign w:val="bottom"/>
          </w:tcPr>
          <w:p>
            <w:pPr>
              <w:pStyle w:val="3"/>
              <w:widowControl/>
              <w:snapToGrid w:val="0"/>
              <w:spacing w:before="0" w:beforeAutospacing="0" w:after="0" w:afterAutospacing="0" w:line="360" w:lineRule="auto"/>
              <w:jc w:val="center"/>
              <w:rPr>
                <w:rFonts w:hint="eastAsia" w:ascii="宋体" w:hAnsi="宋体" w:cs="宋体"/>
                <w:b/>
                <w:bCs/>
                <w:kern w:val="21"/>
                <w:sz w:val="21"/>
                <w:szCs w:val="21"/>
                <w:shd w:val="clear" w:color="auto" w:fill="FFFFFF"/>
              </w:rPr>
            </w:pPr>
            <w:r>
              <w:rPr>
                <w:rFonts w:hint="eastAsia" w:ascii="宋体" w:hAnsi="宋体" w:cs="宋体"/>
                <w:b/>
                <w:bCs/>
                <w:kern w:val="21"/>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568" w:hRule="atLeast"/>
          <w:jc w:val="center"/>
        </w:trPr>
        <w:tc>
          <w:tcPr>
            <w:tcW w:w="665" w:type="dxa"/>
            <w:vAlign w:val="center"/>
          </w:tcPr>
          <w:p>
            <w:pPr>
              <w:pStyle w:val="3"/>
              <w:widowControl/>
              <w:snapToGrid w:val="0"/>
              <w:spacing w:before="0" w:beforeAutospacing="0" w:after="0" w:afterAutospacing="0" w:line="360" w:lineRule="auto"/>
              <w:jc w:val="center"/>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1</w:t>
            </w:r>
          </w:p>
        </w:tc>
        <w:tc>
          <w:tcPr>
            <w:tcW w:w="1364" w:type="dxa"/>
            <w:vAlign w:val="center"/>
          </w:tcPr>
          <w:p>
            <w:pPr>
              <w:pStyle w:val="3"/>
              <w:widowControl/>
              <w:snapToGrid w:val="0"/>
              <w:spacing w:before="0" w:beforeAutospacing="0" w:after="0" w:afterAutospacing="0" w:line="360" w:lineRule="auto"/>
              <w:jc w:val="center"/>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废旧PS版</w:t>
            </w:r>
          </w:p>
        </w:tc>
        <w:tc>
          <w:tcPr>
            <w:tcW w:w="2127" w:type="dxa"/>
            <w:vAlign w:val="center"/>
          </w:tcPr>
          <w:p>
            <w:pPr>
              <w:pStyle w:val="3"/>
              <w:widowControl/>
              <w:snapToGrid w:val="0"/>
              <w:spacing w:before="0" w:beforeAutospacing="0" w:after="0" w:afterAutospacing="0" w:line="360" w:lineRule="auto"/>
              <w:jc w:val="center"/>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约</w:t>
            </w:r>
            <w:r>
              <w:rPr>
                <w:rFonts w:hint="eastAsia" w:ascii="宋体" w:hAnsi="宋体" w:cs="宋体"/>
                <w:kern w:val="21"/>
                <w:sz w:val="21"/>
                <w:szCs w:val="21"/>
                <w:shd w:val="clear" w:color="auto" w:fill="FFFFFF"/>
                <w:lang w:val="en-US" w:eastAsia="zh-CN"/>
              </w:rPr>
              <w:t>100</w:t>
            </w:r>
            <w:r>
              <w:rPr>
                <w:rFonts w:hint="eastAsia" w:ascii="宋体" w:hAnsi="宋体" w:cs="宋体"/>
                <w:kern w:val="21"/>
                <w:sz w:val="21"/>
                <w:szCs w:val="21"/>
                <w:shd w:val="clear" w:color="auto" w:fill="FFFFFF"/>
              </w:rPr>
              <w:t>吨</w:t>
            </w:r>
          </w:p>
          <w:p>
            <w:pPr>
              <w:pStyle w:val="3"/>
              <w:widowControl/>
              <w:snapToGrid w:val="0"/>
              <w:spacing w:before="0" w:beforeAutospacing="0" w:after="0" w:afterAutospacing="0" w:line="360" w:lineRule="auto"/>
              <w:jc w:val="center"/>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（以实际过磅为准）</w:t>
            </w:r>
          </w:p>
        </w:tc>
        <w:tc>
          <w:tcPr>
            <w:tcW w:w="1528" w:type="dxa"/>
            <w:vAlign w:val="center"/>
          </w:tcPr>
          <w:p>
            <w:pPr>
              <w:pStyle w:val="3"/>
              <w:widowControl/>
              <w:snapToGrid w:val="0"/>
              <w:spacing w:before="0" w:beforeAutospacing="0" w:after="0" w:afterAutospacing="0" w:line="360" w:lineRule="auto"/>
              <w:jc w:val="center"/>
              <w:rPr>
                <w:rFonts w:ascii="宋体" w:hAnsi="宋体" w:cs="宋体"/>
                <w:kern w:val="21"/>
                <w:sz w:val="21"/>
                <w:szCs w:val="21"/>
                <w:shd w:val="clear" w:color="auto" w:fill="FFFFFF"/>
              </w:rPr>
            </w:pPr>
          </w:p>
        </w:tc>
        <w:tc>
          <w:tcPr>
            <w:tcW w:w="1526" w:type="dxa"/>
            <w:vAlign w:val="center"/>
          </w:tcPr>
          <w:p>
            <w:pPr>
              <w:pStyle w:val="3"/>
              <w:widowControl/>
              <w:snapToGrid w:val="0"/>
              <w:spacing w:before="0" w:beforeAutospacing="0" w:after="0" w:afterAutospacing="0" w:line="360" w:lineRule="auto"/>
              <w:jc w:val="center"/>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含税价</w:t>
            </w:r>
          </w:p>
        </w:tc>
      </w:tr>
    </w:tbl>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rPr>
      </w:pPr>
      <w:r>
        <w:rPr>
          <w:rFonts w:hint="eastAsia" w:ascii="宋体" w:hAnsi="宋体" w:cs="宋体"/>
          <w:kern w:val="21"/>
          <w:sz w:val="21"/>
          <w:szCs w:val="21"/>
          <w:shd w:val="clear" w:color="auto" w:fill="FFFFFF"/>
        </w:rPr>
        <w:t>第二条 质量条款</w:t>
      </w:r>
    </w:p>
    <w:p>
      <w:pPr>
        <w:pStyle w:val="3"/>
        <w:widowControl/>
        <w:shd w:val="clear" w:color="auto" w:fill="FFFFFF"/>
        <w:snapToGrid w:val="0"/>
        <w:spacing w:before="0" w:beforeAutospacing="0" w:after="0" w:afterAutospacing="0" w:line="360" w:lineRule="auto"/>
        <w:ind w:firstLine="404" w:firstLineChars="200"/>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由于甲方所售废旧物资没有材质单、质量保证书、使用说明书等相关资料文件，甲方对所售废旧PS版物资不给于任何质量方面的担保或保证；乙方在</w:t>
      </w:r>
      <w:r>
        <w:rPr>
          <w:rFonts w:hint="eastAsia" w:ascii="宋体" w:hAnsi="宋体" w:cs="宋体"/>
          <w:kern w:val="21"/>
          <w:sz w:val="21"/>
          <w:szCs w:val="21"/>
          <w:shd w:val="clear" w:color="auto" w:fill="FFFFFF"/>
          <w:lang w:eastAsia="zh-CN"/>
        </w:rPr>
        <w:t>确认提货即代表确认对所购买的废旧物资数、质量予以确认，在后续</w:t>
      </w:r>
      <w:r>
        <w:rPr>
          <w:rFonts w:hint="eastAsia" w:ascii="宋体" w:hAnsi="宋体" w:cs="宋体"/>
          <w:kern w:val="21"/>
          <w:sz w:val="21"/>
          <w:szCs w:val="21"/>
          <w:shd w:val="clear" w:color="auto" w:fill="FFFFFF"/>
        </w:rPr>
        <w:t>使用、销售或以其他方式处置过程中，产生的质量、安全等问题，甲方不承担任何责任，由此产生的一切责任及后果由乙方自行承担。</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rPr>
      </w:pPr>
      <w:r>
        <w:rPr>
          <w:rFonts w:hint="eastAsia" w:ascii="宋体" w:hAnsi="宋体" w:cs="宋体"/>
          <w:kern w:val="21"/>
          <w:sz w:val="21"/>
          <w:szCs w:val="21"/>
          <w:shd w:val="clear" w:color="auto" w:fill="FFFFFF"/>
        </w:rPr>
        <w:t>第三条 提货方式及时间</w:t>
      </w:r>
    </w:p>
    <w:p>
      <w:pPr>
        <w:pStyle w:val="3"/>
        <w:widowControl/>
        <w:shd w:val="clear" w:color="auto" w:fill="FFFFFF"/>
        <w:snapToGrid w:val="0"/>
        <w:spacing w:before="0" w:beforeAutospacing="0" w:after="0" w:afterAutospacing="0" w:line="360" w:lineRule="auto"/>
        <w:ind w:firstLine="404" w:firstLineChars="200"/>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1、提货方式：乙方自行安排车辆和装卸人员，由甲方工作人员带领到仓库提货，装货后乙方负责现场环境卫生整理。</w:t>
      </w:r>
    </w:p>
    <w:p>
      <w:pPr>
        <w:pStyle w:val="3"/>
        <w:widowControl/>
        <w:shd w:val="clear" w:color="auto" w:fill="FFFFFF"/>
        <w:snapToGrid w:val="0"/>
        <w:spacing w:before="0" w:beforeAutospacing="0" w:after="0" w:afterAutospacing="0" w:line="360" w:lineRule="auto"/>
        <w:ind w:firstLine="404" w:firstLineChars="200"/>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2、提货时间：本合同签订后5个工作日内乙方需提清所有物资，逾期未提清则甲方有权对乙方未提清物资另行处理，并没收乙方该标的投标保证金。</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第四条 结算方式及期限</w:t>
      </w:r>
    </w:p>
    <w:p>
      <w:pPr>
        <w:pStyle w:val="3"/>
        <w:widowControl/>
        <w:shd w:val="clear" w:color="auto" w:fill="FFFFFF"/>
        <w:snapToGrid w:val="0"/>
        <w:spacing w:before="0" w:beforeAutospacing="0" w:after="0" w:afterAutospacing="0" w:line="360" w:lineRule="auto"/>
        <w:rPr>
          <w:rFonts w:ascii="宋体" w:hAnsi="宋体" w:cs="宋体"/>
          <w:kern w:val="21"/>
          <w:sz w:val="21"/>
          <w:szCs w:val="21"/>
          <w:shd w:val="clear" w:color="auto" w:fill="FFFFFF"/>
        </w:rPr>
      </w:pPr>
      <w:r>
        <w:rPr>
          <w:rFonts w:hint="eastAsia" w:ascii="宋体" w:hAnsi="宋体" w:cs="宋体"/>
          <w:kern w:val="21"/>
          <w:sz w:val="21"/>
          <w:szCs w:val="21"/>
          <w:shd w:val="clear" w:color="auto" w:fill="FFFFFF"/>
        </w:rPr>
        <w:t xml:space="preserve">    乙方在过磅后按实际过磅重量*中标单价支付甲方款项。</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rPr>
      </w:pPr>
      <w:r>
        <w:rPr>
          <w:rFonts w:hint="eastAsia" w:ascii="宋体" w:hAnsi="宋体" w:cs="宋体"/>
          <w:kern w:val="21"/>
          <w:sz w:val="21"/>
          <w:szCs w:val="21"/>
          <w:shd w:val="clear" w:color="auto" w:fill="FFFFFF"/>
        </w:rPr>
        <w:t>第五条 其它事项</w:t>
      </w:r>
    </w:p>
    <w:p>
      <w:pPr>
        <w:pStyle w:val="3"/>
        <w:widowControl/>
        <w:shd w:val="clear" w:color="auto" w:fill="FFFFFF"/>
        <w:snapToGrid w:val="0"/>
        <w:spacing w:before="0" w:beforeAutospacing="0" w:after="0" w:afterAutospacing="0" w:line="360" w:lineRule="auto"/>
        <w:ind w:firstLine="404" w:firstLineChars="200"/>
        <w:rPr>
          <w:rFonts w:ascii="宋体" w:hAnsi="宋体" w:cs="宋体"/>
          <w:kern w:val="21"/>
          <w:sz w:val="21"/>
          <w:szCs w:val="21"/>
          <w:shd w:val="clear" w:color="auto" w:fill="FFFFFF"/>
        </w:rPr>
      </w:pPr>
      <w:r>
        <w:rPr>
          <w:rFonts w:hint="eastAsia" w:ascii="宋体" w:hAnsi="宋体" w:cs="宋体"/>
          <w:kern w:val="21"/>
          <w:sz w:val="21"/>
          <w:szCs w:val="21"/>
          <w:shd w:val="clear" w:color="auto" w:fill="FFFFFF"/>
        </w:rPr>
        <w:t>1、乙方应</w:t>
      </w:r>
      <w:r>
        <w:rPr>
          <w:rFonts w:hint="eastAsia"/>
          <w:sz w:val="21"/>
          <w:szCs w:val="21"/>
        </w:rPr>
        <w:t>做好保密工作，不得泄露甲方任何信息和资料；乙方对本项目回收货物只能用于再生资源使用，不得用于拷贝、复印等与出版印刷有关的用途。否则乙方应向甲方支付合同金额20%的违约金，并承担因此给甲方造成的一切损失。</w:t>
      </w:r>
    </w:p>
    <w:p>
      <w:pPr>
        <w:pStyle w:val="3"/>
        <w:widowControl/>
        <w:shd w:val="clear" w:color="auto" w:fill="FFFFFF"/>
        <w:snapToGrid w:val="0"/>
        <w:spacing w:before="0" w:beforeAutospacing="0" w:after="0" w:afterAutospacing="0" w:line="360" w:lineRule="auto"/>
        <w:ind w:firstLine="404" w:firstLineChars="200"/>
        <w:rPr>
          <w:rFonts w:hint="eastAsia"/>
          <w:sz w:val="21"/>
          <w:szCs w:val="21"/>
        </w:rPr>
      </w:pPr>
      <w:r>
        <w:rPr>
          <w:rFonts w:hint="eastAsia" w:ascii="宋体" w:hAnsi="宋体" w:cs="宋体"/>
          <w:kern w:val="21"/>
          <w:sz w:val="21"/>
          <w:szCs w:val="21"/>
          <w:shd w:val="clear" w:color="auto" w:fill="FFFFFF"/>
        </w:rPr>
        <w:t>2、乙方工作人员进入甲方公司作业时，应服从甲方管理，</w:t>
      </w:r>
      <w:r>
        <w:rPr>
          <w:rFonts w:hint="eastAsia"/>
          <w:sz w:val="21"/>
          <w:szCs w:val="21"/>
        </w:rPr>
        <w:t>严格遵守国家安全生产法及甲方有关安全方面的规定，对安全作业负全面责任，乙方或其所聘人员在甲方所属范围内工作期间发生的一切工伤事故、人身安全事故及法律纠纷，全部由乙方自行负责并承担，甲方协助处理；如造成甲方损失的，由乙方作出相应赔偿，并保留追究乙方其他相关责任的权利。</w:t>
      </w:r>
    </w:p>
    <w:p>
      <w:pPr>
        <w:pStyle w:val="3"/>
        <w:widowControl/>
        <w:shd w:val="clear" w:color="auto" w:fill="FFFFFF"/>
        <w:snapToGrid w:val="0"/>
        <w:spacing w:before="0" w:beforeAutospacing="0" w:after="0" w:afterAutospacing="0" w:line="360" w:lineRule="auto"/>
        <w:ind w:firstLine="404" w:firstLineChars="200"/>
        <w:rPr>
          <w:rFonts w:hint="eastAsia"/>
          <w:sz w:val="21"/>
          <w:szCs w:val="21"/>
        </w:rPr>
      </w:pPr>
      <w:r>
        <w:rPr>
          <w:rFonts w:hint="eastAsia"/>
          <w:sz w:val="21"/>
          <w:szCs w:val="21"/>
        </w:rPr>
        <w:t>3、甲方已釆取合理方式提请乙方注意本合同项下免除或限制甲方责任的条款，并按乙方要求对有关条款予以充分说明；甲、乙双方对本合同所有条款内容的理解不存在异议。</w:t>
      </w:r>
    </w:p>
    <w:p>
      <w:pPr>
        <w:pStyle w:val="3"/>
        <w:widowControl/>
        <w:numPr>
          <w:ilvl w:val="0"/>
          <w:numId w:val="1"/>
        </w:numPr>
        <w:shd w:val="clear" w:color="auto" w:fill="FFFFFF"/>
        <w:snapToGrid w:val="0"/>
        <w:spacing w:before="0" w:beforeAutospacing="0" w:after="0" w:afterAutospacing="0" w:line="360" w:lineRule="auto"/>
        <w:rPr>
          <w:rFonts w:hint="eastAsia" w:ascii="宋体" w:hAnsi="宋体" w:cs="宋体"/>
          <w:kern w:val="21"/>
          <w:sz w:val="21"/>
          <w:szCs w:val="21"/>
        </w:rPr>
      </w:pPr>
      <w:r>
        <w:rPr>
          <w:rFonts w:hint="eastAsia" w:ascii="宋体" w:hAnsi="宋体" w:cs="宋体"/>
          <w:kern w:val="21"/>
          <w:sz w:val="21"/>
          <w:szCs w:val="21"/>
        </w:rPr>
        <w:t xml:space="preserve">争议解决  </w:t>
      </w:r>
    </w:p>
    <w:p>
      <w:pPr>
        <w:pStyle w:val="3"/>
        <w:widowControl/>
        <w:shd w:val="clear" w:color="auto" w:fill="FFFFFF"/>
        <w:snapToGrid w:val="0"/>
        <w:spacing w:before="0" w:beforeAutospacing="0" w:after="0" w:afterAutospacing="0" w:line="360" w:lineRule="auto"/>
        <w:ind w:firstLine="404" w:firstLineChars="200"/>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若乙方在收购甲方PS版的过程中出现违法违规行为，甲方将予以报警，交由公安机关处理。</w:t>
      </w:r>
    </w:p>
    <w:p>
      <w:pPr>
        <w:pStyle w:val="3"/>
        <w:widowControl/>
        <w:shd w:val="clear" w:color="auto" w:fill="FFFFFF"/>
        <w:snapToGrid w:val="0"/>
        <w:spacing w:before="0" w:beforeAutospacing="0" w:after="0" w:afterAutospacing="0" w:line="360" w:lineRule="auto"/>
        <w:ind w:firstLine="404" w:firstLineChars="200"/>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凡因本合同引起的或与合同有关的任何争议，双方应首先友好协商解决；协商不成则任何一方可向甲方所在地的人民法院提起诉讼。</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rPr>
      </w:pPr>
      <w:r>
        <w:rPr>
          <w:rFonts w:hint="eastAsia" w:ascii="宋体" w:hAnsi="宋体" w:cs="宋体"/>
          <w:kern w:val="21"/>
          <w:sz w:val="21"/>
          <w:szCs w:val="21"/>
          <w:shd w:val="clear" w:color="auto" w:fill="FFFFFF"/>
        </w:rPr>
        <w:t xml:space="preserve">第七条 </w:t>
      </w:r>
      <w:r>
        <w:rPr>
          <w:rFonts w:hint="eastAsia"/>
          <w:sz w:val="21"/>
          <w:szCs w:val="21"/>
        </w:rPr>
        <w:t>本合同壹式贰份，甲乙双方各执壹份，双方签字盖章后生效，涂改无效。</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p>
    <w:tbl>
      <w:tblPr>
        <w:tblStyle w:val="5"/>
        <w:tblW w:w="8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9" w:hRule="atLeast"/>
        </w:trPr>
        <w:tc>
          <w:tcPr>
            <w:tcW w:w="4261" w:type="dxa"/>
            <w:vAlign w:val="top"/>
          </w:tcPr>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 xml:space="preserve">甲方(公章):                               </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rPr>
            </w:pPr>
            <w:r>
              <w:rPr>
                <w:rFonts w:hint="eastAsia" w:ascii="宋体" w:hAnsi="宋体" w:cs="宋体"/>
                <w:kern w:val="21"/>
                <w:sz w:val="21"/>
                <w:szCs w:val="21"/>
                <w:shd w:val="clear" w:color="auto" w:fill="FFFFFF"/>
              </w:rPr>
              <w:t>广东新华印刷有限公司南海分公司                                          法定代表人:</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委托代理人：</w:t>
            </w:r>
          </w:p>
          <w:p>
            <w:pPr>
              <w:pStyle w:val="3"/>
              <w:widowControl/>
              <w:snapToGrid w:val="0"/>
              <w:spacing w:before="0" w:beforeAutospacing="0" w:after="0" w:afterAutospacing="0" w:line="360" w:lineRule="auto"/>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 xml:space="preserve">日期：    </w:t>
            </w:r>
          </w:p>
        </w:tc>
        <w:tc>
          <w:tcPr>
            <w:tcW w:w="4261" w:type="dxa"/>
            <w:vAlign w:val="top"/>
          </w:tcPr>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乙方(公章):</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rPr>
            </w:pPr>
            <w:r>
              <w:rPr>
                <w:rFonts w:hint="eastAsia" w:ascii="宋体" w:hAnsi="宋体" w:cs="宋体"/>
                <w:kern w:val="21"/>
                <w:sz w:val="21"/>
                <w:szCs w:val="21"/>
                <w:shd w:val="clear" w:color="auto" w:fill="FFFFFF"/>
              </w:rPr>
              <w:t>法定代表人:</w:t>
            </w:r>
          </w:p>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 xml:space="preserve">委托代理人：                              </w:t>
            </w:r>
          </w:p>
          <w:p>
            <w:pPr>
              <w:pStyle w:val="3"/>
              <w:widowControl/>
              <w:snapToGrid w:val="0"/>
              <w:spacing w:before="0" w:beforeAutospacing="0" w:after="0" w:afterAutospacing="0" w:line="360" w:lineRule="auto"/>
              <w:rPr>
                <w:rFonts w:hint="eastAsia" w:ascii="宋体" w:hAnsi="宋体" w:cs="宋体"/>
                <w:kern w:val="21"/>
                <w:sz w:val="21"/>
                <w:szCs w:val="21"/>
                <w:shd w:val="clear" w:color="auto" w:fill="FFFFFF"/>
              </w:rPr>
            </w:pPr>
            <w:r>
              <w:rPr>
                <w:rFonts w:hint="eastAsia" w:ascii="宋体" w:hAnsi="宋体" w:cs="宋体"/>
                <w:kern w:val="21"/>
                <w:sz w:val="21"/>
                <w:szCs w:val="21"/>
                <w:shd w:val="clear" w:color="auto" w:fill="FFFFFF"/>
              </w:rPr>
              <w:t xml:space="preserve">日期：                                    </w:t>
            </w:r>
          </w:p>
        </w:tc>
      </w:tr>
    </w:tbl>
    <w:p>
      <w:pPr>
        <w:pStyle w:val="3"/>
        <w:widowControl/>
        <w:shd w:val="clear" w:color="auto" w:fill="FFFFFF"/>
        <w:snapToGrid w:val="0"/>
        <w:spacing w:before="0" w:beforeAutospacing="0" w:after="0" w:afterAutospacing="0" w:line="360" w:lineRule="auto"/>
        <w:rPr>
          <w:rFonts w:hint="eastAsia" w:ascii="宋体" w:hAnsi="宋体" w:cs="宋体"/>
          <w:kern w:val="21"/>
          <w:sz w:val="21"/>
          <w:szCs w:val="21"/>
          <w:shd w:val="clear" w:color="auto" w:fill="FFFFFF"/>
        </w:rPr>
      </w:pPr>
    </w:p>
    <w:p/>
    <w:p>
      <w:pPr>
        <w:spacing w:line="660" w:lineRule="exact"/>
        <w:jc w:val="center"/>
      </w:pPr>
    </w:p>
    <w:p>
      <w:pPr>
        <w:spacing w:line="660" w:lineRule="exact"/>
        <w:jc w:val="center"/>
      </w:pPr>
    </w:p>
    <w:p>
      <w:pPr>
        <w:spacing w:line="660" w:lineRule="exact"/>
        <w:jc w:val="center"/>
      </w:pPr>
    </w:p>
    <w:bookmarkEnd w:id="0"/>
    <w:p>
      <w:pPr>
        <w:spacing w:line="660" w:lineRule="exact"/>
        <w:jc w:val="center"/>
      </w:pPr>
    </w:p>
    <w:sectPr>
      <w:pgSz w:w="11906" w:h="16838"/>
      <w:pgMar w:top="1134" w:right="1588" w:bottom="1418" w:left="1588" w:header="851" w:footer="992" w:gutter="0"/>
      <w:cols w:space="720" w:num="1"/>
      <w:docGrid w:type="linesAndChars" w:linePitch="64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53584464">
    <w:nsid w:val="7A673650"/>
    <w:multiLevelType w:val="singleLevel"/>
    <w:tmpl w:val="7A673650"/>
    <w:lvl w:ilvl="0" w:tentative="1">
      <w:start w:val="6"/>
      <w:numFmt w:val="chineseCounting"/>
      <w:suff w:val="space"/>
      <w:lvlText w:val="第%1条"/>
      <w:lvlJc w:val="left"/>
      <w:rPr>
        <w:rFonts w:hint="eastAsia"/>
      </w:rPr>
    </w:lvl>
  </w:abstractNum>
  <w:num w:numId="1">
    <w:abstractNumId w:val="20535844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WYwYzg3NWY4MzlmMGIzMDlhODVlZjllYzljZGU0OWQifQ=="/>
    <w:docVar w:name="KGWebUrl" w:val="http://10.1.4.118/weaver/weaver.file.FileDownloadForNews?uuid=d515eb3f-579f-412f-aa84-e3bdbfdcc0f5&amp;fileid=68&amp;type=showMould&amp;isofficeview=0"/>
  </w:docVars>
  <w:rsids>
    <w:rsidRoot w:val="001D561A"/>
    <w:rsid w:val="001D561A"/>
    <w:rsid w:val="007570EA"/>
    <w:rsid w:val="008F4B5A"/>
    <w:rsid w:val="07674A74"/>
    <w:rsid w:val="3A1F37E7"/>
    <w:rsid w:val="3B5B6A08"/>
    <w:rsid w:val="5BB51535"/>
    <w:rsid w:val="63485636"/>
    <w:rsid w:val="78224875"/>
    <w:rsid w:val="7F3FCB85"/>
    <w:rsid w:val="DDF79ED3"/>
    <w:rsid w:val="FFEB3945"/>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Balloon Text"/>
    <w:basedOn w:val="1"/>
    <w:link w:val="8"/>
    <w:qFormat/>
    <w:uiPriority w:val="0"/>
    <w:rPr>
      <w:rFonts w:ascii="Calibri" w:hAnsi="Calibri" w:eastAsia="宋体"/>
      <w:sz w:val="18"/>
      <w:szCs w:val="18"/>
    </w:rPr>
  </w:style>
  <w:style w:type="paragraph" w:styleId="3">
    <w:name w:val="Normal (Web)"/>
    <w:basedOn w:val="1"/>
    <w:qFormat/>
    <w:uiPriority w:val="0"/>
    <w:pPr>
      <w:spacing w:before="100" w:beforeAutospacing="1" w:after="100" w:afterAutospacing="1"/>
      <w:ind w:left="0" w:right="0"/>
      <w:jc w:val="left"/>
    </w:pPr>
    <w:rPr>
      <w:rFonts w:ascii="Calibri" w:hAnsi="Calibri" w:eastAsia="宋体"/>
      <w:kern w:val="0"/>
      <w:sz w:val="24"/>
      <w:szCs w:val="24"/>
      <w:lang w:val="en-US" w:eastAsia="zh-CN"/>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7">
    <w:name w:val="Revision"/>
    <w:hidden/>
    <w:semiHidden/>
    <w:qFormat/>
    <w:uiPriority w:val="99"/>
    <w:rPr>
      <w:rFonts w:ascii="Times New Roman" w:hAnsi="Times New Roman" w:eastAsia="仿宋" w:cs="Times New Roman"/>
      <w:kern w:val="2"/>
      <w:sz w:val="32"/>
      <w:szCs w:val="32"/>
      <w:lang w:val="en-US" w:eastAsia="zh-CN" w:bidi="ar-SA"/>
    </w:rPr>
  </w:style>
  <w:style w:type="character" w:customStyle="1" w:styleId="8">
    <w:name w:val="批注框文本 Char"/>
    <w:link w:val="2"/>
    <w:qFormat/>
    <w:uiPriority w:val="0"/>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987</Words>
  <Characters>998</Characters>
  <Lines>1</Lines>
  <Paragraphs>1</Paragraphs>
  <TotalTime>0</TotalTime>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2022-11-23T10:22:00Z</dcterms:created>
  <dc:creator>hp</dc:creator>
  <cp:lastModifiedBy>刘文斌</cp:lastModifiedBy>
  <dcterms:modified xsi:type="dcterms:W3CDTF">2025-01-13T03:23:01Z</dcterms:modified>
  <dc:title>废旧PS版购销合同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DEF1C915D7F648CB8E82B3992E19F354_13</vt:lpwstr>
  </property>
  <property fmtid="{D5CDD505-2E9C-101B-9397-08002B2CF9AE}" pid="4" name="KSOTemplateDocerSaveRecord">
    <vt:lpwstr>eyJoZGlkIjoiYmYwMDlmZjY0NjYyNzkyZDg0OWY5NzMxODVhMTEwZDIiLCJ1c2VySWQiOiIzMTExNTM1MzMifQ==</vt:lpwstr>
  </property>
</Properties>
</file>