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56" w:afterLines="50" w:line="315" w:lineRule="atLeast"/>
        <w:jc w:val="center"/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广东新华印刷有限公司南海分公司</w:t>
      </w:r>
    </w:p>
    <w:p>
      <w:pPr>
        <w:widowControl/>
        <w:spacing w:after="156" w:afterLines="50" w:line="315" w:lineRule="atLeast"/>
        <w:jc w:val="center"/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  <w:lang w:val="en-US" w:eastAsia="zh-CN"/>
        </w:rPr>
        <w:t>小字符喷码机</w:t>
      </w: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采购招标公告</w:t>
      </w:r>
    </w:p>
    <w:p>
      <w:pPr>
        <w:widowControl/>
        <w:spacing w:line="315" w:lineRule="atLeas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我司现计划采购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9台小字符喷码机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，按照公平、公正、公开原则，特将本次采购项目进行公开招标，欢迎符合资格条件的投标人参加。</w:t>
      </w:r>
    </w:p>
    <w:p>
      <w:pPr>
        <w:widowControl/>
        <w:numPr>
          <w:numId w:val="0"/>
        </w:numPr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广东新华印刷有限公司南海分公司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小字符喷码机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采购项目（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-2）</w:t>
      </w:r>
    </w:p>
    <w:p>
      <w:pPr>
        <w:widowControl/>
        <w:numPr>
          <w:numId w:val="0"/>
        </w:numPr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二、商务要求</w:t>
      </w:r>
    </w:p>
    <w:p>
      <w:pPr>
        <w:pStyle w:val="2"/>
        <w:numPr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限价43000元/台，共9台，总价限价人民币38.7万元，含13%增值税；</w:t>
      </w: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2.货期：合同签订20天内安装完成；</w:t>
      </w: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3.总价承包，费用包含设备费、人工费、安装费、安装需要的耗材及改装费用等所有费用。</w:t>
      </w: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三、技术要求</w:t>
      </w: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1.设备功能：</w:t>
      </w: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1.1功能：该喷码机用于两器件焊接后两器件的质量跟踪，该设备可以自动检测焊接线下线的两器件到位，并通过自动喷墨形式在两器件边板处喷码。</w:t>
      </w: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1.2设备耗材：滤芯、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-SA"/>
        </w:rPr>
        <w:t>油墨、稀释剂、清洗剂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2.质量管控点要求：</w:t>
      </w: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6"/>
        <w:tblW w:w="99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6"/>
        <w:gridCol w:w="4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7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喷头质量要求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喷头具有加热装置，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直接对喷腔进行加热，确保喷嘴口墨水的温度稳定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7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油墨回收系统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采用回收泵回收，具有较强的回收能力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7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温度适应范围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-20℃ ~45℃相对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较广泛的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温度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适应范围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7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主控cpu要求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ARM公司最新架构第七代CORTEX-A系列4核处理器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7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人机界面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10.1英寸所见即所得广角彩色高清IPS触摸屏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7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采用倍频技术</w:t>
            </w:r>
          </w:p>
        </w:tc>
        <w:tc>
          <w:tcPr>
            <w:tcW w:w="498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保障喷码机在使用外部编码器（同步器）打印时，打印速度无衰减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7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具有串口通信功能</w:t>
            </w:r>
          </w:p>
        </w:tc>
        <w:tc>
          <w:tcPr>
            <w:tcW w:w="4986" w:type="dxa"/>
            <w:vAlign w:val="top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可发送中文，图案；也可以同时发送多条串口数据并任意排版；可以控制喷码机的全部功能； 可以触发喷印（代替光电眼）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7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喷印字体</w:t>
            </w:r>
          </w:p>
        </w:tc>
        <w:tc>
          <w:tcPr>
            <w:tcW w:w="4986" w:type="dxa"/>
            <w:vAlign w:val="top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可喷印自由体，可U盘升级字库，打印所需的各类字体、字体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76" w:type="dxa"/>
            <w:vAlign w:val="center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直连功能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（需另加）</w:t>
            </w:r>
          </w:p>
        </w:tc>
        <w:tc>
          <w:tcPr>
            <w:tcW w:w="4986" w:type="dxa"/>
            <w:vAlign w:val="top"/>
          </w:tcPr>
          <w:p>
            <w:pPr>
              <w:widowControl/>
              <w:spacing w:line="315" w:lineRule="atLeas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-SA"/>
              </w:rPr>
              <w:t>阅读扫码枪直连机器即时接收及打印功能</w:t>
            </w:r>
          </w:p>
        </w:tc>
      </w:tr>
    </w:tbl>
    <w:p>
      <w:pPr>
        <w:numPr>
          <w:numId w:val="0"/>
        </w:numPr>
        <w:spacing w:line="380" w:lineRule="exact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3.设备主要技术参数：</w:t>
      </w:r>
    </w:p>
    <w:tbl>
      <w:tblPr>
        <w:tblStyle w:val="6"/>
        <w:tblW w:w="9826" w:type="dxa"/>
        <w:tblInd w:w="-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9"/>
        <w:gridCol w:w="53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线速度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喉管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喷码行数：5x5点阵，5行（最大34点阵）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高柔韧性喉管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喷印速度：5x7单行，60dpi时最大线速度为340米/分钟   （2米/S）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标准长度：2m，可选3m直径：？mm弯曲半径：？mm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可选点阵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信息存储和用户字段存储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单行：5x5、5x7、7x9、9x12、10x16、 16x24、25x34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1000条，更多信息可通过U盘无限存储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双行：5x5、5x7、7x9、9x12、10x16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三行：5x5、5x7、7x9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喷印距离低于20毫米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四行：5x5、5x7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最佳喷印距离12mm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五行：5x5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范围5mm-20mm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字符高度（60U喷嘴）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智能墨水盒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可根据字体点阵在2mm-10mm之间选择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500ml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键盘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墨芯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电容触控屏，智能输入法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4000小时免维护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客户标识/图案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语言和界面可选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编辑数字，拼音，汉字，导入图片标识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简体中文（可选配其他国家语言）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一维条码、二维条码、随机码、特殊喷印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可打印一维码二维码及变量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喷头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数据接口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模块化喷头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RS232、USB、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喷嘴： KHz，50um，60um，可选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旋转编码器（同步器）、报警灯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喷印触发器（电眼）状态输出、USB接口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温度范围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显示屏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-20℃~45℃相对温度0%~90%，无结露</w:t>
            </w: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8英寸广角高清彩色触摸屏，信息所见即所得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防护等级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IP55，全不锈钢304机箱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shd w:val="clear" w:color="auto" w:fill="C8C8C8"/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电气要求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4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100-240VAC,50/60Hz,120W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？</w:t>
            </w:r>
          </w:p>
        </w:tc>
      </w:tr>
    </w:tbl>
    <w:p>
      <w:pPr>
        <w:spacing w:line="380" w:lineRule="exact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widowControl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4.设备主要组成部分及结构特点：</w:t>
      </w:r>
    </w:p>
    <w:p>
      <w:pPr>
        <w:widowControl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4.1主要组成：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-SA"/>
        </w:rPr>
        <w:t>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-SA"/>
        </w:rPr>
        <w:t>喷头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-SA"/>
        </w:rPr>
        <w:t>主板控制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系统组成。</w:t>
      </w:r>
    </w:p>
    <w:p>
      <w:pPr>
        <w:widowControl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4.2结构特点：封闭式安全操作，一键启动式操作。</w:t>
      </w:r>
    </w:p>
    <w:p>
      <w:pPr>
        <w:widowControl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4.3设备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-SA"/>
        </w:rPr>
        <w:t>主要材质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bidi="ar-SA"/>
        </w:rPr>
        <w:t>不锈钢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5.环安标准要求：</w:t>
      </w:r>
    </w:p>
    <w:tbl>
      <w:tblPr>
        <w:tblStyle w:val="6"/>
        <w:tblW w:w="9053" w:type="dxa"/>
        <w:tblInd w:w="5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613"/>
        <w:gridCol w:w="35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1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461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352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验收标准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1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机械防护要求</w:t>
            </w:r>
          </w:p>
        </w:tc>
        <w:tc>
          <w:tcPr>
            <w:tcW w:w="4613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设备设计制造必须符合国家及行业相关标准，防止误操作所引起的生产、质量、安全事故。如由于乙方设计、制造等缺陷所造成的安全事故及财产损失，由乙方全部承担。</w:t>
            </w:r>
          </w:p>
        </w:tc>
        <w:tc>
          <w:tcPr>
            <w:tcW w:w="3527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全封闭组成，一键式操作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13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配电接线要求</w:t>
            </w:r>
          </w:p>
        </w:tc>
        <w:tc>
          <w:tcPr>
            <w:tcW w:w="4613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设备电气符合国家安全标准布线规范，普通三箱电即可</w:t>
            </w:r>
          </w:p>
        </w:tc>
        <w:tc>
          <w:tcPr>
            <w:tcW w:w="3527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现场操作，查看有无此功能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环保要求</w:t>
            </w:r>
          </w:p>
        </w:tc>
        <w:tc>
          <w:tcPr>
            <w:tcW w:w="4613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噪音、废水、废气、固体废弃物的排放应符合国家标准及相关的行业标准。</w:t>
            </w:r>
          </w:p>
        </w:tc>
        <w:tc>
          <w:tcPr>
            <w:tcW w:w="3527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按照行标、国标要求，设备噪音≤60dB（距离噪音源1～1.5米进行测量）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91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识指引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4613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备张贴必要的安全警示标识，安全操作指引等文件；电控箱各走线要用线码标识，线码管由专业设备打印，不允许出现手写标识。管道及线路布置、色彩应规范并符合国家的相关标准，应有清晰的文字标识及流向标识，禁止杂乱交叉；设备阀门应标识在正常工作状态下，是常开或常闭；设备仪表盘符合相关行业标准、国家标准，盘面应有区域颜色区别危险、正常、异常（红色代表危险区域、黄色代表异常区域、绿色代表正常区域）；大电容区域必须有明显标识要求先放电再维修警告。</w:t>
            </w:r>
          </w:p>
        </w:tc>
        <w:tc>
          <w:tcPr>
            <w:tcW w:w="3527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按照行标、国标要求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1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重要元器件放置</w:t>
            </w:r>
          </w:p>
        </w:tc>
        <w:tc>
          <w:tcPr>
            <w:tcW w:w="4613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放置于不容易碰撞的位置。</w:t>
            </w:r>
          </w:p>
        </w:tc>
        <w:tc>
          <w:tcPr>
            <w:tcW w:w="352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避开各活动机构</w:t>
            </w:r>
          </w:p>
        </w:tc>
      </w:tr>
    </w:tbl>
    <w:p>
      <w:pPr>
        <w:spacing w:line="380" w:lineRule="exact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6.设备技术资料及随机附件要求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6.1设备资料要求</w:t>
      </w:r>
    </w:p>
    <w:tbl>
      <w:tblPr>
        <w:tblStyle w:val="6"/>
        <w:tblW w:w="9072" w:type="dxa"/>
        <w:tblInd w:w="5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6"/>
        <w:gridCol w:w="5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设备资料名称</w:t>
            </w:r>
          </w:p>
        </w:tc>
        <w:tc>
          <w:tcPr>
            <w:tcW w:w="5756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设备铭牌</w:t>
            </w:r>
          </w:p>
        </w:tc>
        <w:tc>
          <w:tcPr>
            <w:tcW w:w="5756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明确铭牌标明设备品名、型号、品牌、出厂年月，出厂编号，制造厂、设备外观尺寸、设备自重、等信息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16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说明书及维修手册（中文）</w:t>
            </w:r>
          </w:p>
        </w:tc>
        <w:tc>
          <w:tcPr>
            <w:tcW w:w="575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二份</w:t>
            </w:r>
          </w:p>
        </w:tc>
      </w:tr>
    </w:tbl>
    <w:p>
      <w:pPr>
        <w:spacing w:line="380" w:lineRule="exact"/>
        <w:ind w:firstLine="463" w:firstLineChars="19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6.2每台易损件及随机配件清单（除设备配齐以外，以下为备用件）</w:t>
      </w:r>
    </w:p>
    <w:tbl>
      <w:tblPr>
        <w:tblStyle w:val="6"/>
        <w:tblW w:w="9072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4"/>
        <w:gridCol w:w="2126"/>
        <w:gridCol w:w="1701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126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</w:t>
            </w:r>
          </w:p>
        </w:tc>
        <w:tc>
          <w:tcPr>
            <w:tcW w:w="2127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4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  <w:t>油墨</w:t>
            </w:r>
          </w:p>
        </w:tc>
        <w:tc>
          <w:tcPr>
            <w:tcW w:w="2126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  <w:t>瓶</w:t>
            </w:r>
          </w:p>
        </w:tc>
        <w:tc>
          <w:tcPr>
            <w:tcW w:w="2127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4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  <w:t>稀释剂</w:t>
            </w:r>
          </w:p>
        </w:tc>
        <w:tc>
          <w:tcPr>
            <w:tcW w:w="2126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  <w:t>瓶</w:t>
            </w:r>
          </w:p>
        </w:tc>
        <w:tc>
          <w:tcPr>
            <w:tcW w:w="2127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4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  <w:t>支架</w:t>
            </w:r>
          </w:p>
        </w:tc>
        <w:tc>
          <w:tcPr>
            <w:tcW w:w="2126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  <w:t>套</w:t>
            </w:r>
          </w:p>
        </w:tc>
        <w:tc>
          <w:tcPr>
            <w:tcW w:w="2127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4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  <w:t>电眼</w:t>
            </w:r>
          </w:p>
        </w:tc>
        <w:tc>
          <w:tcPr>
            <w:tcW w:w="2126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2127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</w:tr>
    </w:tbl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7.设备其它要求：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7.1附全套说明书及维修手册；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7.2新设备出厂检验合格证；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8.培训要求：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设备培训分进厂前培训与进厂后培训两个阶段。培训内容包括但不限于以下项目：</w:t>
      </w:r>
    </w:p>
    <w:tbl>
      <w:tblPr>
        <w:tblStyle w:val="6"/>
        <w:tblpPr w:leftFromText="180" w:rightFromText="180" w:vertAnchor="text" w:horzAnchor="page" w:tblpX="2115" w:tblpY="648"/>
        <w:tblOverlap w:val="never"/>
        <w:tblW w:w="9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6"/>
        <w:gridCol w:w="4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6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培训内容</w:t>
            </w:r>
          </w:p>
        </w:tc>
        <w:tc>
          <w:tcPr>
            <w:tcW w:w="4670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培训要求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6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设备运行原理与功能</w:t>
            </w:r>
          </w:p>
        </w:tc>
        <w:tc>
          <w:tcPr>
            <w:tcW w:w="467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586" w:type="dxa"/>
            <w:tcBorders>
              <w:bottom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设备操作与演示</w:t>
            </w:r>
          </w:p>
        </w:tc>
        <w:tc>
          <w:tcPr>
            <w:tcW w:w="467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理论介绍与现场培训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设备维护保养</w:t>
            </w:r>
          </w:p>
        </w:tc>
        <w:tc>
          <w:tcPr>
            <w:tcW w:w="4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理论介绍与现场培训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设备常见故障分析与解决</w:t>
            </w:r>
          </w:p>
        </w:tc>
        <w:tc>
          <w:tcPr>
            <w:tcW w:w="4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理论介绍与现场培训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设备操作安全与紧急事项处理</w:t>
            </w:r>
          </w:p>
        </w:tc>
        <w:tc>
          <w:tcPr>
            <w:tcW w:w="4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理论介绍与现场培训</w:t>
            </w:r>
          </w:p>
        </w:tc>
      </w:tr>
    </w:tbl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9.设备设计、制造、油漆、包装符合标准如下：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GB5083-1999《生产设备安全卫生设计总则》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GB12801-91《生产过程 安全卫生要求总则》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GB5226.1-2002《机械安全  机械电气设备  第1部分：通用技术条件》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GB4064-83《电气设备安全设计导则》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GB16754-1997《机械安全急停设计原则》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GB12265-90《机械防护安全距离》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GB4053.3-93《固定式工业防护栏杆安全技术条件》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GB8196-87《机械设备防护罩安全要求》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GB8197-87《防护屏安全要求》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GB2894《安全标志》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 Z2-2002《国家职业卫生标准》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JB/T1644-2005 《铸造机械通用技术条件》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JB 5545—1991 《铸造机械安全防护  技术条件》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JB526—1996   《铸造设备安装工程施工及验收规范》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GB16297—1996 《大气污染综合排放标准》</w:t>
      </w:r>
    </w:p>
    <w:p>
      <w:pPr>
        <w:widowControl/>
        <w:spacing w:line="315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ZBJ500012-89  《出口机床油漆技术条件》等国家和行业相关技术标准。</w:t>
      </w:r>
    </w:p>
    <w:p>
      <w:pPr>
        <w:widowControl/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四、其他要求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1.保证金缴纳数额及形式：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1.1本项目保证金为5000元，以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现金、转帐或电汇的形式交纳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注：必须使用公户进行转账或电汇，</w:t>
      </w:r>
      <w:r>
        <w:rPr>
          <w:rFonts w:hint="eastAsia" w:ascii="仿宋_GB2312" w:hAnsi="仿宋_GB2312" w:eastAsia="仿宋_GB2312" w:cs="仿宋_GB2312"/>
          <w:sz w:val="32"/>
          <w:szCs w:val="32"/>
        </w:rPr>
        <w:t>交纳保证金时请备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注“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小字符喷码机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-2）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”），以到账为准。保证金作为报价文件的组成部分，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其缴纳凭证应与报价文件封装在一个信封中。</w:t>
      </w:r>
    </w:p>
    <w:p>
      <w:pPr>
        <w:pStyle w:val="7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6386864"/>
      <w:r>
        <w:rPr>
          <w:rFonts w:hint="eastAsia" w:ascii="仿宋_GB2312" w:hAnsi="仿宋_GB2312" w:eastAsia="仿宋_GB2312" w:cs="仿宋_GB2312"/>
          <w:sz w:val="32"/>
          <w:szCs w:val="32"/>
        </w:rPr>
        <w:t>1.2投标人的保证金，在确定中标人之日起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十个工作日内按保证金来源原额无息退回。</w:t>
      </w:r>
    </w:p>
    <w:bookmarkEnd w:id="0"/>
    <w:p>
      <w:pPr>
        <w:pStyle w:val="7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1.3有下列情形之一的，保证金被依法没收：</w:t>
      </w:r>
    </w:p>
    <w:p>
      <w:pPr>
        <w:pStyle w:val="7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1.3.1未经同意将中标项目转让给他人，或者在报价文件中未说明，将中标项目分包给他人的；</w:t>
      </w:r>
    </w:p>
    <w:p>
      <w:pPr>
        <w:pStyle w:val="7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1.3.2未能在规定期限内与招标单位签订书面合同的；</w:t>
      </w:r>
    </w:p>
    <w:p>
      <w:pPr>
        <w:pStyle w:val="7"/>
        <w:tabs>
          <w:tab w:val="left" w:pos="7740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1.3.3法律法规规定的其他情形。</w:t>
      </w:r>
    </w:p>
    <w:p>
      <w:pPr>
        <w:ind w:firstLine="627" w:firstLineChars="196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、报价文件的构成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 营业执照。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 法定代表人身份证明书、法定代表人投标授权委托书，投标代理人身份证复印件、联系方式。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3.税务登记证、项目相关许可证书、项目相关资质书。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4.报价单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需提供所报设备的具体参数文件）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5.投标保证金缴纳凭证。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注：投标人必须按照以上要求准备投标文件，投标文件须全部加盖公章。如到投标截止时间，投标人不足三家，招标人可以和投标人进行商务谈判确定中标人。</w:t>
      </w:r>
    </w:p>
    <w:p>
      <w:pPr>
        <w:ind w:firstLine="627" w:firstLineChars="196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、报价文件的递交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1.报价文件及保证金（到账为准）递交的截止时间：2021年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：30。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报价文件送达地点：广东新华印刷有限公司南海分公司（广东省佛山市南海区盐步河东中心路23号）。</w:t>
      </w:r>
    </w:p>
    <w:p>
      <w:pPr>
        <w:tabs>
          <w:tab w:val="left" w:pos="795"/>
        </w:tabs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招标单位开户银行及业务联系方式</w:t>
      </w:r>
    </w:p>
    <w:p>
      <w:pPr>
        <w:tabs>
          <w:tab w:val="left" w:pos="795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开户银行：中国工商银行佛山南海蟾丰支行 </w:t>
      </w:r>
    </w:p>
    <w:p>
      <w:pPr>
        <w:ind w:left="640" w:leftChars="152" w:hanging="321" w:hangingChars="1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（如网银上无法查到蟾丰支行，可直接录入中国工商银行佛山盐步支行）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行号：102588002290</w:t>
      </w:r>
    </w:p>
    <w:p>
      <w:pPr>
        <w:tabs>
          <w:tab w:val="left" w:pos="795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开户银行帐号：2013813119200011065</w:t>
      </w:r>
    </w:p>
    <w:p>
      <w:pPr>
        <w:tabs>
          <w:tab w:val="left" w:pos="795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招标人：广东新华印刷有限公司南海分公司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地址：广东省佛山市南海区盐步河东中心路23号</w:t>
      </w:r>
    </w:p>
    <w:p>
      <w:pPr>
        <w:tabs>
          <w:tab w:val="left" w:pos="795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高先生（项目咨询）18666368572</w:t>
      </w:r>
    </w:p>
    <w:p>
      <w:pPr>
        <w:tabs>
          <w:tab w:val="left" w:pos="795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刘先生（文件接收） 0757-85725393 15015842363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（为避免错过重要信息，请在工作时间周一至周五8:00～11:30,13:30～17:30咨询）</w:t>
      </w:r>
    </w:p>
    <w:p>
      <w:pPr>
        <w:tabs>
          <w:tab w:val="left" w:pos="79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                         </w:t>
      </w:r>
    </w:p>
    <w:p>
      <w:pPr>
        <w:widowControl/>
        <w:spacing w:before="2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广东新华印刷有限公司南海分公司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月2日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05848E6"/>
    <w:rsid w:val="00166C86"/>
    <w:rsid w:val="00185BAB"/>
    <w:rsid w:val="0041487F"/>
    <w:rsid w:val="005B12D6"/>
    <w:rsid w:val="00813AE9"/>
    <w:rsid w:val="00AA6454"/>
    <w:rsid w:val="00B3359F"/>
    <w:rsid w:val="0220040D"/>
    <w:rsid w:val="025F4866"/>
    <w:rsid w:val="03650166"/>
    <w:rsid w:val="18597CA2"/>
    <w:rsid w:val="204F718E"/>
    <w:rsid w:val="205848E6"/>
    <w:rsid w:val="212842F5"/>
    <w:rsid w:val="2646297C"/>
    <w:rsid w:val="46F51B1C"/>
    <w:rsid w:val="483A5DD4"/>
    <w:rsid w:val="4E8B2E8D"/>
    <w:rsid w:val="51EF3640"/>
    <w:rsid w:val="5E664836"/>
    <w:rsid w:val="63093A26"/>
    <w:rsid w:val="703838A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unhideWhenUsed/>
    <w:uiPriority w:val="99"/>
    <w:rPr>
      <w:rFonts w:ascii="宋体" w:hAnsi="Courier New"/>
      <w:kern w:val="0"/>
      <w:szCs w:val="21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纯文本1"/>
    <w:basedOn w:val="1"/>
    <w:uiPriority w:val="0"/>
    <w:rPr>
      <w:rFonts w:ascii="宋体" w:hAnsi="Courier New" w:cs="Courier New"/>
      <w:szCs w:val="21"/>
    </w:rPr>
  </w:style>
  <w:style w:type="paragraph" w:styleId="8">
    <w:name w:val=""/>
    <w:basedOn w:val="1"/>
    <w:qFormat/>
    <w:uiPriority w:val="34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广东新华印刷有限公司南海分公司</Company>
  <Pages>4</Pages>
  <Words>232</Words>
  <Characters>1328</Characters>
  <Lines>11</Lines>
  <Paragraphs>3</Paragraphs>
  <ScaleCrop>false</ScaleCrop>
  <LinksUpToDate>false</LinksUpToDate>
  <CharactersWithSpaces>1557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2021-07-19T06:25:00Z</dcterms:created>
  <dc:creator>刘文斌</dc:creator>
  <cp:lastModifiedBy>刘文斌</cp:lastModifiedBy>
  <dcterms:modified xsi:type="dcterms:W3CDTF">2021-12-02T07:54:55Z</dcterms:modified>
  <dc:title>广东新华印刷有限公司南海分公司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